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关于实施养老机构“信易养老”工作措施     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各养老机构：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hAnsi="微软雅黑" w:eastAsia="仿宋_GB2312" w:cs="仿宋_GB2312"/>
          <w:kern w:val="0"/>
          <w:sz w:val="32"/>
          <w:szCs w:val="20"/>
          <w:lang w:bidi="ar"/>
        </w:rPr>
        <w:t>为探索信用激励与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养老</w:t>
      </w:r>
      <w:r>
        <w:rPr>
          <w:rFonts w:hint="eastAsia" w:hAnsi="微软雅黑" w:eastAsia="仿宋_GB2312" w:cs="仿宋_GB2312"/>
          <w:kern w:val="0"/>
          <w:sz w:val="32"/>
          <w:szCs w:val="20"/>
          <w:lang w:bidi="ar"/>
        </w:rPr>
        <w:t>行业相融合方式，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褒扬诚信，树立守信者受益的价值导向，让诚信个人</w:t>
      </w:r>
      <w:r>
        <w:rPr>
          <w:rFonts w:hint="eastAsia" w:hAnsi="微软雅黑" w:eastAsia="仿宋_GB2312" w:cs="仿宋_GB2312"/>
          <w:kern w:val="0"/>
          <w:sz w:val="32"/>
          <w:szCs w:val="20"/>
          <w:lang w:bidi="ar"/>
        </w:rPr>
        <w:t>享受信用生活带来的便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利，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现结合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新区实际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，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制定“信易养老”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20"/>
          <w:lang w:val="en-US" w:eastAsia="zh-CN" w:bidi="ar"/>
        </w:rPr>
        <w:t>一、激励对象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天津市道德模范、劳动模范、退伍军人、优秀志愿者、各级好人等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20"/>
          <w:lang w:val="en-US" w:eastAsia="zh-CN" w:bidi="ar"/>
        </w:rPr>
        <w:t>二、激励措施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激励对象自愿选择入住滨海新区范围内已备案的养老机构，可享受优先预约登记入住待遇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养老机构可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依据自身实际提供额外配套激励措施。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20"/>
          <w:lang w:val="en-US" w:eastAsia="zh-CN" w:bidi="ar"/>
        </w:rPr>
        <w:t>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激励对象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应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根据养老机构入住管理要求，提供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本人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相关</w:t>
      </w:r>
      <w:r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  <w:t>有效证件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及入住材料。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养老机构在接收道德模范、劳动模范、优秀志愿者、各级好人预约入住登记时，可向区民政局复核激励对象身份，确认无误后办理相关手续，并制定“信易养老”激励对象入住养老机构登记台账，并于每月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 w:bidi="ar"/>
        </w:rPr>
        <w:t>30</w:t>
      </w:r>
      <w:r>
        <w:rPr>
          <w:rFonts w:hint="eastAsia" w:hAnsi="微软雅黑" w:eastAsia="仿宋_GB2312" w:cs="仿宋_GB2312"/>
          <w:kern w:val="0"/>
          <w:sz w:val="32"/>
          <w:szCs w:val="20"/>
          <w:lang w:val="en-US" w:eastAsia="zh-CN" w:bidi="ar"/>
        </w:rPr>
        <w:t>日前将当月台账报送至区民政局社会福利和慈善事业促进室。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 w:bidi="ar"/>
        </w:rPr>
        <w:t>2020年7月28日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hAnsi="微软雅黑" w:eastAsia="仿宋_GB2312" w:cs="仿宋_GB2312"/>
          <w:kern w:val="0"/>
          <w:sz w:val="32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hAnsi="微软雅黑" w:eastAsia="仿宋_GB2312" w:cs="仿宋_GB2312"/>
          <w:kern w:val="0"/>
          <w:sz w:val="32"/>
          <w:szCs w:val="20"/>
          <w:lang w:bidi="ar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06C67"/>
    <w:multiLevelType w:val="singleLevel"/>
    <w:tmpl w:val="73806C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617A3"/>
    <w:rsid w:val="00CE26F8"/>
    <w:rsid w:val="1AF71CDB"/>
    <w:rsid w:val="57ED7E26"/>
    <w:rsid w:val="59847B86"/>
    <w:rsid w:val="5C5237E7"/>
    <w:rsid w:val="62B617A3"/>
    <w:rsid w:val="6F4353BA"/>
    <w:rsid w:val="7A5C6033"/>
    <w:rsid w:val="7B523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2020-07-26T02:19:00Z</dcterms:created>
  <dc:creator>hp</dc:creator>
  <cp:lastModifiedBy>面面</cp:lastModifiedBy>
  <dcterms:modified xsi:type="dcterms:W3CDTF">2021-09-30T07:38:29Z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3D63857E2B824E2FAD471B9A022FC60F</vt:lpwstr>
  </property>
</Properties>
</file>